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4472c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40"/>
          <w:szCs w:val="40"/>
          <w:rtl w:val="0"/>
        </w:rPr>
        <w:t xml:space="preserve">Piattaforma UNICA (MIM)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Cos’è la Piattaforma Unica?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Si porta a conoscenza degli studenti, delle famiglie e di tutto il personale scolastico che è attualmente disponibile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645ad"/>
            <w:sz w:val="24"/>
            <w:szCs w:val="24"/>
            <w:u w:val="single"/>
            <w:rtl w:val="0"/>
          </w:rPr>
          <w:t xml:space="preserve">UNICA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la nuova piattaforma del Ministero dell'Istruzione e del Merito ideata per offrire a ragazze e ragazzi un mondo di servizi digitali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che li accompagnino nel percorso di crescita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nel fare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scelte consapevoli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 e nel coltivare e far emergere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i loro talenti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Cosa trovi nella Piattaforma Unica?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Si tratta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un solo punto di accesso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 per la fruizione dei servizi messi a disposizione di famiglie e personale scolastico. La piattaforma, raggiungibile dal link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645ad"/>
            <w:sz w:val="24"/>
            <w:szCs w:val="24"/>
            <w:u w:val="single"/>
            <w:rtl w:val="0"/>
          </w:rPr>
          <w:t xml:space="preserve"> https://unica.istruzione.gov.it/it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, permette di accedere alle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risorse per l’orientamento e per la valorizzazione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dei talenti di ogni studenti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alle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informazioni sulle iniziative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che arricchiscono i percorsi di studio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9191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ai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servizi digitali innovativi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per gestire facilmente i rapporti con la scuola.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Dalla piattaforma è, inoltre, possibile accedere, in modo rapido, a diverse sezioni: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9191a"/>
          <w:sz w:val="24"/>
          <w:szCs w:val="24"/>
          <w:rtl w:val="0"/>
        </w:rPr>
        <w:t xml:space="preserve">Iscrizioni online, Agevolazioni per viaggi di istruzione, Capolavoro …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1919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Perché una Piattaforma Unica?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Ai sensi di quanto indicato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dall’articolo 21, comma 4-ter, del Decreto-Legge del 22 giugno 2023, n. 75, la Piattaforma Unica intende: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nuovi servizi per l’orientamento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dalle Linee guida per l’orientamento, adottate con Decreto Ministeriale n. 328 del 22 dicembre 2022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un unico punto di accesso a tutti i servizi informativi e dispositivi dedicati agli utenti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negli ambiti di orientamento, offerta formativa e iscrizioni, ottimizzando al contempo l’accesso e la fruizione dei servizi esistenti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l’integrazione e la cooperazione con i diversi stakeholder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dell’ecosistema scuola. Oltre alle pagine informative consultabili nell’area pubblica della Piattaforma, gli utenti possono fruire di contenuti e servizi personalizzati previa procedura di identificazione e autenticazione informatica.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single"/>
          <w:shd w:fill="auto" w:val="clear"/>
          <w:vertAlign w:val="baseline"/>
          <w:rtl w:val="0"/>
        </w:rPr>
        <w:t xml:space="preserve">Come accedere alla Piattaforma Unica?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1a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17"/>
          <w:sz w:val="24"/>
          <w:szCs w:val="24"/>
          <w:u w:val="none"/>
          <w:shd w:fill="auto" w:val="clear"/>
          <w:vertAlign w:val="baseline"/>
          <w:rtl w:val="0"/>
        </w:rPr>
        <w:t xml:space="preserve">Tutti gli utenti (studenti, genitori, docenti, dirigenti/coordinatori, personale amministrativo) possono accedere a Unica, utilizzando le seguenti modalità: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7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24"/>
          <w:szCs w:val="24"/>
          <w:rtl w:val="0"/>
        </w:rPr>
        <w:t xml:space="preserve">SPID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 (Sistema Pubblico di Identità Digitale)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7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24"/>
          <w:szCs w:val="24"/>
          <w:rtl w:val="0"/>
        </w:rPr>
        <w:t xml:space="preserve">CIE ID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 (Carta di Identità Elettronica)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7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24"/>
          <w:szCs w:val="24"/>
          <w:rtl w:val="0"/>
        </w:rPr>
        <w:t xml:space="preserve">CNS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 (Carta Nazionale dei Servizi)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7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24"/>
          <w:szCs w:val="24"/>
          <w:rtl w:val="0"/>
        </w:rPr>
        <w:t xml:space="preserve">eIDAS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 (Electronic Identification Authentication and Signature)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171717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specifica che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24"/>
          <w:szCs w:val="24"/>
          <w:u w:val="single"/>
          <w:rtl w:val="0"/>
        </w:rPr>
        <w:t xml:space="preserve">SPID è disponibile anche per gli studenti minorenni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. I genitori possono richiederne il rilascio al proprio gestore dell’identità digitale SPID.</w:t>
        <w:br w:type="textWrapping"/>
        <w:t xml:space="preserve">Maggiori informazioni sono disponibili nella pagina dedicata sul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43e4"/>
            <w:sz w:val="24"/>
            <w:szCs w:val="24"/>
            <w:u w:val="single"/>
            <w:rtl w:val="0"/>
          </w:rPr>
          <w:t xml:space="preserve">sito dell’Agenzia per l’Italia Digitale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Qualora non sia possibile accedere con SPID minori,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24"/>
          <w:szCs w:val="24"/>
          <w:rtl w:val="0"/>
        </w:rPr>
        <w:t xml:space="preserve">gli studenti</w:t>
      </w:r>
      <w:r w:rsidDel="00000000" w:rsidR="00000000" w:rsidRPr="00000000">
        <w:rPr>
          <w:rFonts w:ascii="Times New Roman" w:cs="Times New Roman" w:eastAsia="Times New Roman" w:hAnsi="Times New Roman"/>
          <w:color w:val="171717"/>
          <w:sz w:val="24"/>
          <w:szCs w:val="24"/>
          <w:rtl w:val="0"/>
        </w:rPr>
        <w:t xml:space="preserve"> possono anche registrarsi utilizzando l’apposita funzione presente in fase di accesso all’area riservata del Ministero dell’Istruzione e del Merito (MIM) e accedere con le credenziali specifiche che saranno fornite al termine della procedura. Quest’ultima modalità di accesso è consentita anche per gli utenti (quali, a titolo esemplificativo, Dirigenti/coordinatori e personale amministrativo) già in possesso delle credenziali MIM.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Come orientarsi nella Piattaforma Unica?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I servizi offerti dalla Piattaforma Unica,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in continua evoluzione e in costante aggiornamento,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sono raggruppati in tre categorie omogenee, a loro volta composte da sottosezioni tematiche pensate per facilitare la navigazione e migliorare la modalità di fruizione dei servizi a disposizione: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Orientamento: 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accompagna nella costruzione del proprio percorso di crescita in base a competenze, aspirazioni, offerta formativa e sbocchi professionali e comprende le sezioni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“Il tuo percorso”, “Guida alla scelta”, “Iscrizioni”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Vivere la scuola: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supporta la gestione del percorso scolastico e arricchisce l’esperienza attraverso iniziative educative e formative focalizzate su temi di inclusività, sicurezza e benessere e comprende le sezioni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“Esperienze formative”, “Esami e valutazioni”, “Iniziative”, “Scuola inclusiva”, “Sport”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Strumenti:</w:t>
      </w:r>
      <w:r w:rsidDel="00000000" w:rsidR="00000000" w:rsidRPr="00000000">
        <w:rPr>
          <w:rFonts w:ascii="Times New Roman" w:cs="Times New Roman" w:eastAsia="Times New Roman" w:hAnsi="Times New Roman"/>
          <w:color w:val="19191a"/>
          <w:sz w:val="24"/>
          <w:szCs w:val="24"/>
          <w:rtl w:val="0"/>
        </w:rPr>
        <w:t xml:space="preserve"> mette a disposizione applicazioni per la gestione amministrativa del percorso scolastico e per l’accesso a misure dedicate al diritto allo studio e comprende le sezioni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“Welfare e comunità”, “Strumenti amministrativi”.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9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Quali servizi offre la sezione “Orientamento” della Piattaforma Unica?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 seguito si illustrano le sottosezioni tematiche della categoria “Orientamento” e 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nuovi servizi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essa contenuti.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Il tuo percorso: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comprende tutti i servizi che supportano studentesse e studenti nell’individuare i propri punti di forza, identificare le aree di miglioramento ed effettuare una scelta ponderata e consapevole per il prosieguo del percorso formativo e/o lavorativo.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Nello specifico: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Servizio “E-Portfolio”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strumento digitale che accompagna nell’individuazione dei punti di forza delle studentesse e degli studenti e aiuta a compiere scelte consapevoli. Lo strumento consente di seguire l’andamento del percorso di studi e lo sviluppo delle competenze a seguito delle attività svolte in ambito extrascolastico.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Servizio “Docente tutor”,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servizio digitale volto ad agevolare lo svolgimento dei compiti assegnati al docente che ricopre il ruolo di docente tutor, al fine di supportare studentesse e studenti nel percorso di studi e nella compilazione dell’E-Portfolio.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seguito le specifiche funzionalità – la prima accessibile a chiunque nell’area pubblica della Piattaforma, mentre le successive fruibili previa procedura di identificazione e autenticazione informatica all’area privata – previste per l’utente: 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Chi è il docente tutor,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riporta tutte le informazioni riguardo al ruolo e alle competenze del docente tutor e la base normativa in merito all’istituzione del nuovo ruolo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Profilo personale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 accoglie il nome e cognome del Docente Tutor, l’Istituzione in cui presta servizio e le classi in cui insegna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I miei studenti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che contiene l’elenco di studentesse e studenti affidati al docente tutor, suddivisi per classe, con un collegamento al loro E-Portfolio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Calendario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che consente al docente tutor di fissare appuntamenti e scadenze, nonché di far conoscere le disponibilità temporali per prenotare un colloquio. 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Guida alla scelta: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comprende tutti i servizi utili a genitori/esercenti la responsabilità genitoriale, studentesse e studenti, per approfondire l’offerta formativa delle scuole di loro interesse e per scoprire i trend del mondo del lavoro, al fine di garantire la possibilità di scegliere il percorso scolastico e/o lavorativo consapevolmente.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Nello specifico: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0" w:line="240" w:lineRule="auto"/>
        <w:ind w:left="135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al sistema integrato 0-6 anni al secondo ciclo di istruzione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pagina che permette di navigare e scoprire i diversi percorsi, indirizzi e tipologie di Scuole dell’infanzia, del primo e del secondo ciclo, in termini di caratteristiche ed offerta formativa;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line="240" w:lineRule="auto"/>
        <w:ind w:left="135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Istruzione e formazione terziaria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pagina che permette all’utente di visionare informazioni generali circa i percorsi di istruzione e formazione terziaria offerti da Università e Alta Formazione Artistica Musicale coreutica (AFAM), Istituti Tecnologici Superiori (ITS Academy) e Scuole Superiori per Mediatori Linguistici (SSML), reindirizzando l’utenza interessata ai relativi siti dedicati;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spacing w:after="0" w:line="240" w:lineRule="auto"/>
        <w:ind w:left="135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Statistiche su istruzione e lavoro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dashboard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interattiva per consultare statistiche e dati utili a permettere di effettuare scelte più consapevoli, soprattutto nei momenti di transizione del percorso scolastico.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line="240" w:lineRule="auto"/>
        <w:ind w:left="135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24"/>
          <w:szCs w:val="24"/>
          <w:rtl w:val="0"/>
        </w:rPr>
        <w:t xml:space="preserve">Scuola in Chiaro (link)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Iscrizioni online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pagina che fornisce tutte le informazioni utili per fare l'iscrizione al primo anno della scuola primaria, secondaria di primo o secondo grado e dei Centri di Formazione Professionale regionali.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Quali servizi offre la sezione “Vivere la scuola” della Piattaforma Unica?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Accedendo alle tre sezioni sarà possibile accedere, mediante collegamenti esterni, ai singoli siti specializzati, come di seguito dettagliato.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Esperienze formative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Percorsi per lo sviluppo delle competenze trasversali e per l’orientamento: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Erasmus +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Consulte studentesche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Esami e valutazioni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Esami di Stato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Albo nazionale delle eccellenze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INVALSIopen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Iniziative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Educazione Civica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Safer Internet Center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Piano Cinema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Scuola e memoria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Noi siamo pari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RiGenerazione Scuola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highlight w:val="cyan"/>
          <w:rtl w:val="0"/>
        </w:rPr>
        <w:t xml:space="preserve">Scuola inclusiva: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Scuola in ospedale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Bisogni Educativi Speciali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Ausili e sussidi didattici per studenti con disabilità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highlight w:val="cyan"/>
          <w:rtl w:val="0"/>
        </w:rPr>
        <w:t xml:space="preserve">Sport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Scuola Attiva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Studente Atleta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Campionati Studenteschi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Progetti Nazionali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2c4"/>
          <w:sz w:val="24"/>
          <w:szCs w:val="24"/>
          <w:rtl w:val="0"/>
        </w:rPr>
        <w:t xml:space="preserve">Concorsi Nazionali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Quali servizi offre la sezione “Strumenti” della Piattaforma Unica?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Accedendo alle tre sezioni sarà possibile accedere, mediante collegamenti esterni, ai singoli siti specializzati, come di seguito dettagliato.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Welfare e comunità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single"/>
          <w:shd w:fill="auto" w:val="clear"/>
          <w:vertAlign w:val="baseline"/>
          <w:rtl w:val="0"/>
        </w:rPr>
        <w:t xml:space="preserve">Viaggi di istruzione: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possibile richiedere l’agevolazione per facilitare la partecipazione degli studenti a viaggi di istruzione e uscite didattiche. Con uno stanziamento di 50 milioni di euro, il Ministero dell’Istruzione e del Merito si è impegnato a sostenere le studentesse e gli studenti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partecipazione alle uscite didattiche e ai viaggi di istruzione, esperienze formative che sono parte integrante del percorso scolastico e favoriscono la socialità e la crescita culturale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Le risorse stanziate saranno destinate, in particolare, ad agevolare le studentesse e gli studenti delle scuole statali secondarie di secondo grado provenienti da famiglie con ISEE fino a 5.000 euro.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L’agevolazione può essere richiesta dal 15 gennaio al 15 febbraio 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Biblioteche scolastiche e innovative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IoStudio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IDEArium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highlight w:val="cyan"/>
          <w:u w:val="none"/>
          <w:vertAlign w:val="baseline"/>
          <w:rtl w:val="0"/>
        </w:rPr>
        <w:t xml:space="preserve">Strumenti amministrativi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Pago in Rete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Firma Elettronica Avanzata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9191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u w:val="single"/>
          <w:rtl w:val="0"/>
        </w:rPr>
        <w:t xml:space="preserve">Per saperne di più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 approfondimenti riguardo al funzionamento della Piattaforma e dei relativi servizi, gli utenti possono consultare apposite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FAQ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(Frequently Asked Questions),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Manuali Utente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VideoTutorial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all’interno della sezione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Assistenza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 del proprio profilo.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aggiunta, per problematiche di carattere operativo o tecnico relativa a Unica: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DS/Coordinatore, DSGA e personale amministrativo di segreteria scolastica possono contattare il Service Desk al Numero Verde “800 903 080”, dal lunedì al venerdì dalle ore 8.00 alle 18.30.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Famiglie, studentesse, studenti, docenti e docenti tutor, possono richiedere supporto tecnico direttamente sulla Piattaforma, compilando un apposito webform.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4472c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4472c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4472c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gid.gov.it/it/agenzia/stampa-e-comunicazione/notizie/2022/03/07/agid-adotta-linee-guida-spid-minor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nica.istruzione.gov.it/it" TargetMode="External"/><Relationship Id="rId8" Type="http://schemas.openxmlformats.org/officeDocument/2006/relationships/hyperlink" Target="https://unica.istruzione.gov.it/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VfNXjhzG48POGRLH2oTk0vYc7w==">CgMxLjAyCGguZ2pkZ3hzOAByITFabzRQLXVfSVZPUHpxMnZPNVZNM1FRNkRtRE4wRXpwRA==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